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85" w:type="dxa"/>
        <w:jc w:val="left"/>
        <w:tblInd w:w="-10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34"/>
        <w:gridCol w:w="6850"/>
      </w:tblGrid>
      <w:tr>
        <w:trPr>
          <w:trHeight w:val="283" w:hRule="atLeast"/>
        </w:trPr>
        <w:tc>
          <w:tcPr>
            <w:tcW w:w="10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Uczelni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Wyższa Szkoła Umiejętności Zawodowych z siedzibą w Pińczowie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Wydziału i Kierunku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Wydział Pielęgniarstwa, Kierunek: Pielęgniarstwo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modułu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PODSTAWOWA OPIEKA ZDROWOTNA – Kod przedmiotu: PI.POP.18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Język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Polski 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Obowiązkowy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C. Nauki w zakresie podstaw opieki pielęgniarskiej 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Rok studiów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III, IV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Semestr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VI, VII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Osoba/zespół przygotowująca/y kartę przedmiotu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ar-SA"/>
              </w:rPr>
              <w:t>Wydział Pielęgniarstwa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Sposób realizacji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Zajęcia wymagające bezpośredniego udziału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prowadzącego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i studentów : wykład, ćwiczenia, zajęcia praktyczne, praktyki zawodowe. 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Samokształcenie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Wymagania wstępne i dodatkowe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Znajomość zagadnień z nauk społecznych; nauk w zakresie podstaw opieki pielęgniarskiej, w tym: podstawy pielęgniarstwa, promocji zdrowia, podstawowej opieki zdrowotnej.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Semestr VI: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wykłady – 10 godz.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samokształcenie – 10 godz.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zajęcia praktyczne – 60 godz.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praktyki zawodowe – 60 godz.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Semestr VII: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wykłady – 10 godz.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samokształcenie – 10 godz.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zajęcia praktyczne – 60 godz.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praktyki zawodowe – 100 godz.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Stosowane metody dydaktyczne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 problemowy, dyskusja, analiza ankiet i dokumentów, wywiad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Wykłady – zaliczenie – sem. VI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Wykłady – egzamin – sem. VII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Samokształcenie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– zaliczenie – sem. VI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Samokształcenie – egzamin – sem. VII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Ćwiczenia – zaliczenie z oceną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Zajęcia praktyczne – zaliczenie z oceną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Praktyki zawodowe – zaliczenie z oceną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Tretekstu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Warunki zaliczenia i dopuszczenia do egzaminu: posiadanie zalicze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ń z samokształcenia.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Samokształcenie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-  test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.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/>
            </w:r>
          </w:p>
          <w:p>
            <w:pPr>
              <w:pStyle w:val="Tretekstu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Dodatkowe kryteria do zaliczenia zaj</w:t>
            </w:r>
            <w:r>
              <w:rPr>
                <w:rFonts w:ascii="Times New Roman" w:hAnsi="Times New Roman"/>
                <w:sz w:val="20"/>
                <w:szCs w:val="20"/>
              </w:rPr>
              <w:t>ęć praktycznych: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200" w:before="0" w:after="0"/>
              <w:ind w:left="720" w:right="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obowiązkowa obecność na wszystkich zajęciach,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200" w:before="0" w:after="0"/>
              <w:ind w:left="720" w:right="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 umiejętności według indeksu (dziennika) umiejętności,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prowadzenie indywidualnego dokumentowania pielęgnowania  chorego,</w:t>
            </w:r>
          </w:p>
        </w:tc>
      </w:tr>
      <w:tr>
        <w:trPr>
          <w:trHeight w:val="17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Cel 1 Student zna i rozumie organizację i funkcjonowanie podstawowej opieki zdrowotnej w Polsce i na świecie. Zna warunki realizacji i zasady funkcjonowania świadczeń pielęgniarskich w podstawowej opiece zdrowotnej 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aszynopis"/>
              <w:spacing w:lineRule="auto" w:line="24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W wyniku kształcenia student: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b/>
                <w:b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Cs w:val="20"/>
                <w:u w:val="single"/>
              </w:rPr>
              <w:t xml:space="preserve">W zakresie  wiedzy: 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C.W19 Zna organizację i funkcjonowanie podstawowej opieki zdrowotnej                     w Polsce i na świecie, z uwzględnieniem zadań pielęgniarki i innych pracowników systemu ochrony zdrowia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C.W20 Zna warunki realizacji i zasady finansowania świadczeń pielęgniarskich  w podstawowej opiece zdrowotnej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C.W21 Zna metody oceny środowiska nauczania i wychowania w zakresie rozpoznawania problemów zdrowotnych dzieci i młodzieży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b/>
                <w:b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Cs w:val="20"/>
                <w:u w:val="single"/>
              </w:rPr>
              <w:t>W zakresie  umiejętności: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C.U33 Potrafi realizować świadczenia zdrowotne w zakresie podstawowej opieki zdrowotnej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C.U34 Potrafi oceniać środowisko zamieszkania, nauczania i wychowania oraz pracy w zakresie rozpoznawania problemów zdrowotnych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C.U35 Potrafi oceniać stan odżywienia organizmu z wykorzystaniem metod antropometrycznych, biochemicznych i badania podmiotowego oraz prowadzić poradnictwo w zakresie żywienia</w:t>
            </w:r>
          </w:p>
          <w:p>
            <w:pPr>
              <w:pStyle w:val="Normal"/>
              <w:spacing w:lineRule="auto" w:line="240" w:before="0" w:after="0"/>
              <w:ind w:left="315" w:hanging="283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kompetencji społecznych: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K.01 Kieruje się dobrem pacjenta, poszanowaniem godności i autonomii osób powierzonych opiece, okazuje zrozumienie dla różnic światopoglądowych                   i kulturowych oraz empatii w relacji z pacjentem i jego rodziną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K.02 Przestrzega praw pacjenta i zachowuje w tajemnicy informacje związane                   z pacjentem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K.03 Samodzielnie i rzetelnie wykonuje zawód zgodnie z zasadami etyki, w tym przestrzegania wartości i powinności moralnych w opiece nad pacjentem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K.04 Ponosi odpowiedzialność za wykonywane czynności zawodowe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K.05 Zasięga opinii ekspertów w przypadku trudności z samodzielnym rozwiązaniem problemu</w:t>
            </w:r>
          </w:p>
          <w:p>
            <w:pPr>
              <w:pStyle w:val="Normal"/>
              <w:spacing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K.06 Przewiduje i uwzględnia czynniki wpływające na reakcje własne i pacjenta</w:t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Cs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Treści modułu kształcenia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/>
                <w:b/>
                <w:bCs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Cs w:val="20"/>
              </w:rPr>
              <w:t>WYKŁADY: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P1. Struktura organizacyjna POZ w Polsce: komórki organizacyjne, pracownicy, zakres świadczeń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P2. Pielęgniarka w zespole POZ – świadczenia gwarantowane, zakres współpracy z zespołem POZ, grupami wsparcia, pomocą społeczną. Charakterystyka i zasady pielęgniarskich wizyt domowych.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P3. Idea i założenia opieki pielęgniarskiej skoncentrowanej na rodzinie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P4. Programy profilaktyczne realizowane w POZ.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P5. Profilaktyczna opieka zdrowotna nad dzieckiem do 5 roku życia: stan zdrowia dzieci, badanie przesiewowe, bilanse zdrowia, szczepienia, edukacja zdrowotna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P6.Pielęgniarstwo w środowisku nauczania i wychowania – zadania i organizacja pracy pielęgniarki.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P7. Specyfika pracy pielęgniarki w ochronie zdrowia pracujących – struktura służb medycyny pracy, ograniczanie szkodliwego wpływu pracy na zdrowie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P8. Zakres opieki pielęgniarskiej nad przewlekle chorym w środowisku domowym. Pacjent z chorobą niedokrwienną serca, nadciśnieniem tętniczym, przewlekłą niewydolnością oddechową, cukrzycą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P9. Udział pielęgniarki w interwencjach związanych z terapią ostrych infekcji                  i zakażeń leczonych w POZ.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bCs/>
                <w:szCs w:val="20"/>
              </w:rPr>
              <w:t>P10. Kompetencje i autonomia pielęgniarstwa w POZ.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b/>
                <w:b/>
                <w:szCs w:val="20"/>
              </w:rPr>
            </w:pPr>
            <w:r>
              <w:rPr>
                <w:rFonts w:cs="Times New Roman" w:ascii="Times New Roman" w:hAnsi="Times New Roman"/>
                <w:b/>
                <w:szCs w:val="20"/>
              </w:rPr>
              <w:t>SAMOKSZTAŁCENIE: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P11.Organizacja POZ w wybranych dwóch krajach UE – analiza porównawcza świadczeń gwarantowanych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P12. Zespół wypalenia zawodowego wśród pracowników POZ – przyczyny, czynniki predysponujące, zapobieganie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b/>
                <w:b/>
                <w:szCs w:val="20"/>
              </w:rPr>
            </w:pPr>
            <w:r>
              <w:rPr>
                <w:rFonts w:cs="Times New Roman" w:ascii="Times New Roman" w:hAnsi="Times New Roman"/>
                <w:b/>
                <w:szCs w:val="20"/>
              </w:rPr>
              <w:t>ZAJĘCIA PRAKTYCZNE: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P13. Zagrożenia zdrowia w środowisku pracy.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P14. Rodzaje badań profilaktycznych wykonywanych u pracowników – badania wstępne, okresowe, kontrolne.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P15. Choroba zawodowa, parazawodowa, wypadek przy pracy – definiowanie pojęć.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P16.Zakres danych do diagnozy pielęgniarskiej w aspekcie profilaktyki i promocji zdrowia pracowników w środowisku pracy</w:t>
            </w:r>
          </w:p>
          <w:p>
            <w:pPr>
              <w:pStyle w:val="Maszynopis"/>
              <w:spacing w:lineRule="auto" w:line="240"/>
              <w:ind w:left="32" w:hang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Wykaz literatury podstawowej i uzupełniającej, obowiązującej do zaliczenia danego modułu</w:t>
            </w:r>
          </w:p>
        </w:tc>
        <w:tc>
          <w:tcPr>
            <w:tcW w:w="6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b/>
                <w:b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Cs w:val="20"/>
                <w:u w:val="single"/>
              </w:rPr>
              <w:t xml:space="preserve">Literatura podstawowa: 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Ślusarska B, Marcinowicz L. Kolecka K – Pielęgniarstwo rodzinne i opieka środowiskowa.PZWL,Warszawa 2019</w:t>
            </w:r>
          </w:p>
          <w:p>
            <w:pPr>
              <w:pStyle w:val="Maszynopis"/>
              <w:snapToGrid w:val="false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Kilańska D – Pielęgniarstwo w podstawowej opiece zdrowotnej, T1.Wydawnictwo Makmed,Lublin 2010</w:t>
            </w:r>
          </w:p>
          <w:p>
            <w:pPr>
              <w:pStyle w:val="Maszynopis"/>
              <w:spacing w:lineRule="auto" w:line="24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b/>
                <w:szCs w:val="20"/>
                <w:u w:val="single"/>
              </w:rPr>
              <w:t xml:space="preserve">Literatura uzupełniająca: </w:t>
            </w:r>
          </w:p>
          <w:p>
            <w:pPr>
              <w:pStyle w:val="Normal"/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Opieka nad podopiecznym w praktyce pielęgniarki rodzinnej. Opisy indywidualnych przypadków. Continuo, Wrocław 2017r</w:t>
            </w:r>
          </w:p>
          <w:p>
            <w:pPr>
              <w:pStyle w:val="Normal"/>
              <w:spacing w:lineRule="auto" w:line="240" w:before="0" w:after="0"/>
              <w:ind w:left="315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85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80"/>
        <w:gridCol w:w="5264"/>
        <w:gridCol w:w="3809"/>
      </w:tblGrid>
      <w:tr>
        <w:trPr/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 xml:space="preserve">KRYTERIA OCENY POSTAWY STUDENTA PODCZAS ZAJĘĆ PRAKTYCZNYCH I PRAKTYK ZAWODOWYCH 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Lp.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Kryteria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Liczba punktów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Postawa w stosunku do pacjenta.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0 - 6</w:t>
            </w:r>
          </w:p>
        </w:tc>
      </w:tr>
      <w:tr>
        <w:trPr>
          <w:trHeight w:val="408" w:hRule="atLeast"/>
        </w:trPr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Postawa wobec nauki i zawodu.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Postawa wobec zespołu terapeutycznego.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Postawa studenta wobec regulaminu.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60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LICZBA UZYSKANYCH PUNKTÓW</w:t>
            </w:r>
          </w:p>
        </w:tc>
        <w:tc>
          <w:tcPr>
            <w:tcW w:w="38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0 - 24</w:t>
            </w:r>
          </w:p>
        </w:tc>
      </w:tr>
      <w:tr>
        <w:trPr/>
        <w:tc>
          <w:tcPr>
            <w:tcW w:w="985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SKALA OCEN WEDŁUG ZDOBYTEJ PUNKTACJI:</w:t>
            </w:r>
          </w:p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24 – 23 pkt. - bardzo dobry,                                  18 - 17 pkt. - dostateczny plus</w:t>
            </w:r>
          </w:p>
          <w:p>
            <w:pPr>
              <w:pStyle w:val="Normal"/>
              <w:suppressLineNumbers/>
              <w:spacing w:lineRule="atLeast" w:line="200" w:before="0" w:after="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22 - 21 pkt. - dobry plus                                        16 – 14 pkt. - dostateczny</w:t>
            </w:r>
          </w:p>
          <w:p>
            <w:pPr>
              <w:pStyle w:val="Normal"/>
              <w:suppressLineNumbers/>
              <w:spacing w:lineRule="atLeast" w:line="200" w:before="0" w:after="0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20 – 19 pkt. - dobry                                               13 i poniżej - niedostateczny</w:t>
            </w:r>
          </w:p>
        </w:tc>
      </w:tr>
    </w:tbl>
    <w:p>
      <w:pPr>
        <w:pStyle w:val="Normal"/>
        <w:rPr>
          <w:kern w:val="2"/>
        </w:rPr>
      </w:pPr>
      <w:r>
        <w:rPr>
          <w:kern w:val="2"/>
        </w:rPr>
      </w:r>
    </w:p>
    <w:tbl>
      <w:tblPr>
        <w:tblW w:w="988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512"/>
        <w:gridCol w:w="1512"/>
        <w:gridCol w:w="1796"/>
        <w:gridCol w:w="1590"/>
        <w:gridCol w:w="1554"/>
        <w:gridCol w:w="1918"/>
      </w:tblGrid>
      <w:tr>
        <w:trPr/>
        <w:tc>
          <w:tcPr>
            <w:tcW w:w="988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 xml:space="preserve">KRYTERIA OCENY OSIĄGNIĘTYCH EFEKTÓW KSZTAŁCENIA </w:t>
            </w:r>
          </w:p>
        </w:tc>
      </w:tr>
      <w:tr>
        <w:trPr/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bardzo dobrą (5,0)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dobrą plus (4,5)</w:t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dobrą (4,0)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dostateczna plus (3,5)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dostateczną (3,0)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Na ocenę niedostateczną (2,0)</w:t>
            </w:r>
          </w:p>
        </w:tc>
      </w:tr>
      <w:tr>
        <w:trPr/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 xml:space="preserve">96 – 100 % 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pozytywnych odpowiedzi                  z rozwiązywania zadań. Student ma dużą wiedzę                          i umiejętności, samodzielnie myśli                            i rozwiązuje problemy badawcze. 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86 -95 %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pozytywnych odpowiedzi                   z rozwiązywania zadań. Student ma duży zasób wiedzy                 i umiejętności, ale efekty kształcenia nie wykraczają poza zakres omawianego materiału.</w:t>
            </w: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76 – 85 %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pozytywnych odpowiedzi                    z rozwiązywania zadań. Student opanował efekty kształcenia w stopniu dobrym, potrafi prawidłowo formułować myśli, posługiwać się wiedzą                            i  wymaganym słownictwem medycznym.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66 – 75 %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pozytywnych odpowiedzi                    z rozwiązywania zadań. Student opanował efekty kształcenia w stopniu zadowalającym, ale nie posługuje się wymaganym słownictwem medycznym.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55 – 65 %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pozytywnych odpowiedzi                        z rozwiązywania zadań. Student opanował efekty kształcenia w stopniu dostatecznym.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</w:rPr>
              <w:t>Poniżej 55 %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pozytywnych odpowiedzi                          z rozwiązywania zadań. Odpowiedzi błędne, luki                                   w wiadomościach. Student nie opanował założonych efektów kształcenia.</w: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lineRule="atLeast" w:line="200" w:before="0" w:after="0"/>
        <w:ind w:left="0" w:right="-650" w:hanging="0"/>
        <w:jc w:val="both"/>
        <w:outlineLvl w:val="1"/>
        <w:rPr>
          <w:rFonts w:ascii="Times New Roman" w:hAnsi="Times New Roman" w:eastAsia="Calibri" w:cs="Times New Roman"/>
          <w:b/>
          <w:b/>
          <w:bCs/>
          <w:kern w:val="2"/>
          <w:sz w:val="18"/>
          <w:szCs w:val="18"/>
          <w:u w:val="single"/>
        </w:rPr>
      </w:pPr>
      <w:r>
        <w:rPr>
          <w:rFonts w:eastAsia="Calibri" w:cs="Times New Roman" w:ascii="Times New Roman" w:hAnsi="Times New Roman"/>
          <w:b/>
          <w:bCs/>
          <w:kern w:val="2"/>
          <w:sz w:val="18"/>
          <w:szCs w:val="18"/>
          <w:u w:val="single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  <w:sz w:val="20"/>
          <w:szCs w:val="20"/>
        </w:rPr>
        <w:t>BILANS PUNKTÓW ECTS – NAKŁAD PRACY STUDENTA</w:t>
      </w:r>
    </w:p>
    <w:tbl>
      <w:tblPr>
        <w:tblW w:w="984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681"/>
        <w:gridCol w:w="1519"/>
        <w:gridCol w:w="1642"/>
      </w:tblGrid>
      <w:tr>
        <w:trPr>
          <w:trHeight w:val="600" w:hRule="exact"/>
        </w:trPr>
        <w:tc>
          <w:tcPr>
            <w:tcW w:w="6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Kategoria</w:t>
            </w:r>
          </w:p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Obciążenie studenta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Punkty ECTS</w:t>
            </w:r>
          </w:p>
        </w:tc>
      </w:tr>
      <w:tr>
        <w:trPr>
          <w:trHeight w:val="705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Udział w zajęciach dydaktycznych określonych w planie studiów (godz. kontaktowe)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300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11</w:t>
            </w:r>
          </w:p>
        </w:tc>
      </w:tr>
      <w:tr>
        <w:trPr>
          <w:trHeight w:val="390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Udział w wykładach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20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1</w:t>
            </w:r>
          </w:p>
        </w:tc>
      </w:tr>
      <w:tr>
        <w:trPr>
          <w:trHeight w:val="420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 xml:space="preserve">Inne -zajęcia praktyczne, praktyka zawodowa 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120/160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10</w:t>
            </w:r>
          </w:p>
        </w:tc>
      </w:tr>
      <w:tr>
        <w:trPr>
          <w:trHeight w:val="390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Samokształcenie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20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</w:r>
          </w:p>
        </w:tc>
      </w:tr>
      <w:tr>
        <w:trPr>
          <w:trHeight w:val="405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Przygotowanie do wykładu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kern w:val="2"/>
              </w:rPr>
            </w:pPr>
            <w:r>
              <w:rPr>
                <w:kern w:val="2"/>
              </w:rPr>
              <w:t>10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kern w:val="2"/>
              </w:rPr>
            </w:pPr>
            <w:r>
              <w:rPr>
                <w:kern w:val="2"/>
              </w:rPr>
            </w:r>
          </w:p>
        </w:tc>
      </w:tr>
      <w:tr>
        <w:trPr>
          <w:trHeight w:val="375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kern w:val="2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kern w:val="2"/>
              </w:rPr>
              <w:t>Przygotowanie do egzaminu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kern w:val="2"/>
              </w:rPr>
            </w:pPr>
            <w:r>
              <w:rPr>
                <w:rFonts w:cs="Times New Roman" w:ascii="Times New Roman" w:hAnsi="Times New Roman"/>
                <w:kern w:val="2"/>
              </w:rPr>
              <w:t>10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kern w:val="2"/>
              </w:rPr>
            </w:pPr>
            <w:r>
              <w:rPr>
                <w:kern w:val="2"/>
              </w:rPr>
            </w:r>
          </w:p>
        </w:tc>
      </w:tr>
      <w:tr>
        <w:trPr>
          <w:trHeight w:val="420" w:hRule="exact"/>
        </w:trPr>
        <w:tc>
          <w:tcPr>
            <w:tcW w:w="668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Łączna liczba godzin/punktów ECTS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kern w:val="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</w:rPr>
              <w:t>320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>
                <w:b/>
                <w:b/>
                <w:kern w:val="2"/>
              </w:rPr>
            </w:pPr>
            <w:r>
              <w:rPr>
                <w:b/>
                <w:kern w:val="2"/>
              </w:rPr>
              <w:t>11</w:t>
            </w:r>
          </w:p>
        </w:tc>
      </w:tr>
    </w:tbl>
    <w:p>
      <w:pPr>
        <w:pStyle w:val="Normal"/>
        <w:rPr>
          <w:kern w:val="2"/>
        </w:rPr>
      </w:pPr>
      <w:r>
        <w:rPr>
          <w:kern w:val="2"/>
        </w:rPr>
      </w:r>
    </w:p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2100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>
    <w:name w:val="Tekst dymka Znak"/>
    <w:qFormat/>
    <w:rPr>
      <w:rFonts w:ascii="Segoe UI" w:hAnsi="Segoe UI" w:eastAsia="Segoe UI"/>
      <w:kern w:val="2"/>
      <w:sz w:val="18"/>
      <w:szCs w:val="18"/>
    </w:rPr>
  </w:style>
  <w:style w:type="character" w:styleId="ZnakZnak4">
    <w:name w:val="Znak Znak4"/>
    <w:qFormat/>
    <w:rPr>
      <w:rFonts w:ascii="Calibri" w:hAnsi="Calibri" w:eastAsia="Calibri"/>
      <w:lang w:val="pl-PL" w:eastAsia="ar-SA"/>
    </w:rPr>
  </w:style>
  <w:style w:type="character" w:styleId="ZnakZnak7">
    <w:name w:val="Znak Znak7"/>
    <w:qFormat/>
    <w:rPr>
      <w:rFonts w:ascii="Calibri" w:hAnsi="Calibri" w:eastAsia="Calibri"/>
      <w:lang w:val="pl-PL" w:eastAsia="ar-SA"/>
    </w:rPr>
  </w:style>
  <w:style w:type="character" w:styleId="ZnakZnak8">
    <w:name w:val="Znak Znak8"/>
    <w:qFormat/>
    <w:rPr>
      <w:rFonts w:eastAsia="Arial"/>
      <w:lang w:eastAsia="pl-PL"/>
    </w:rPr>
  </w:style>
  <w:style w:type="character" w:styleId="ZnakZnak9">
    <w:name w:val="Znak Znak9"/>
    <w:qFormat/>
    <w:rPr>
      <w:b/>
      <w:sz w:val="24"/>
      <w:lang w:val="pl-PL"/>
    </w:rPr>
  </w:style>
  <w:style w:type="character" w:styleId="Domylnaczcionkaakapitu1">
    <w:name w:val="Domyślna czcionka akapitu1"/>
    <w:qFormat/>
    <w:rPr/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Times New Roman" w:hAnsi="Times New Roman" w:eastAsia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Symbolewypunktowania">
    <w:name w:val="Symbole wypunktowania"/>
    <w:qFormat/>
    <w:rPr>
      <w:rFonts w:ascii="OpenSymbol" w:hAnsi="OpenSymbol" w:eastAsia="OpenSymbol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5z7">
    <w:name w:val="WW8Num5z7"/>
    <w:qFormat/>
    <w:rPr/>
  </w:style>
  <w:style w:type="character" w:styleId="WW8Num13z0">
    <w:name w:val="WW8Num13z0"/>
    <w:qFormat/>
    <w:rPr>
      <w:rFonts w:eastAsia="Times New Roman"/>
    </w:rPr>
  </w:style>
  <w:style w:type="character" w:styleId="WW8Num5z5">
    <w:name w:val="WW8Num5z5"/>
    <w:qFormat/>
    <w:rPr/>
  </w:style>
  <w:style w:type="character" w:styleId="WW8Num14z0">
    <w:name w:val="WW8Num14z0"/>
    <w:qFormat/>
    <w:rPr>
      <w:rFonts w:eastAsia="Times New Roman"/>
    </w:rPr>
  </w:style>
  <w:style w:type="character" w:styleId="WW8Num5z4">
    <w:name w:val="WW8Num5z4"/>
    <w:qFormat/>
    <w:rPr/>
  </w:style>
  <w:style w:type="character" w:styleId="WW8Num9z2">
    <w:name w:val="WW8Num9z2"/>
    <w:qFormat/>
    <w:rPr>
      <w:rFonts w:eastAsia="Times New Roman"/>
    </w:rPr>
  </w:style>
  <w:style w:type="character" w:styleId="WW8Num9z4">
    <w:name w:val="WW8Num9z4"/>
    <w:qFormat/>
    <w:rPr/>
  </w:style>
  <w:style w:type="character" w:styleId="WW8Num9z8">
    <w:name w:val="WW8Num9z8"/>
    <w:qFormat/>
    <w:rPr/>
  </w:style>
  <w:style w:type="character" w:styleId="WW8Num12z1">
    <w:name w:val="WW8Num12z1"/>
    <w:qFormat/>
    <w:rPr>
      <w:rFonts w:ascii="OpenSymbol" w:hAnsi="OpenSymbol" w:eastAsia="OpenSymbol"/>
    </w:rPr>
  </w:style>
  <w:style w:type="character" w:styleId="WW8Num5z2">
    <w:name w:val="WW8Num5z2"/>
    <w:qFormat/>
    <w:rPr/>
  </w:style>
  <w:style w:type="character" w:styleId="WW8Num5z6">
    <w:name w:val="WW8Num5z6"/>
    <w:qFormat/>
    <w:rPr/>
  </w:style>
  <w:style w:type="character" w:styleId="WW8Num16z0">
    <w:name w:val="WW8Num16z0"/>
    <w:qFormat/>
    <w:rPr>
      <w:rFonts w:eastAsia="Arial"/>
      <w:lang w:eastAsia="pl-PL"/>
    </w:rPr>
  </w:style>
  <w:style w:type="character" w:styleId="WW8Num16z1">
    <w:name w:val="WW8Num16z1"/>
    <w:qFormat/>
    <w:rPr/>
  </w:style>
  <w:style w:type="character" w:styleId="WW8Num5z8">
    <w:name w:val="WW8Num5z8"/>
    <w:qFormat/>
    <w:rPr/>
  </w:style>
  <w:style w:type="character" w:styleId="WW8Num9z6">
    <w:name w:val="WW8Num9z6"/>
    <w:qFormat/>
    <w:rPr/>
  </w:style>
  <w:style w:type="character" w:styleId="WW8Num15z0">
    <w:name w:val="WW8Num15z0"/>
    <w:qFormat/>
    <w:rPr>
      <w:rFonts w:eastAsia="Times New Roman"/>
    </w:rPr>
  </w:style>
  <w:style w:type="character" w:styleId="WW8Num5z3">
    <w:name w:val="WW8Num5z3"/>
    <w:qFormat/>
    <w:rPr/>
  </w:style>
  <w:style w:type="character" w:styleId="WW8Num9z3">
    <w:name w:val="WW8Num9z3"/>
    <w:qFormat/>
    <w:rPr/>
  </w:style>
  <w:style w:type="character" w:styleId="WW8Num9z5">
    <w:name w:val="WW8Num9z5"/>
    <w:qFormat/>
    <w:rPr/>
  </w:style>
  <w:style w:type="character" w:styleId="WW8Num9z7">
    <w:name w:val="WW8Num9z7"/>
    <w:qFormat/>
    <w:rPr/>
  </w:style>
  <w:style w:type="character" w:styleId="WW8Num4z2">
    <w:name w:val="WW8Num4z2"/>
    <w:qFormat/>
    <w:rPr>
      <w:rFonts w:eastAsia="Times New Roman"/>
    </w:rPr>
  </w:style>
  <w:style w:type="character" w:styleId="WW8Num9z1">
    <w:name w:val="WW8Num9z1"/>
    <w:qFormat/>
    <w:rPr>
      <w:rFonts w:ascii="OpenSymbol" w:hAnsi="OpenSymbol" w:eastAsia="Symbol"/>
      <w:b w:val="false"/>
      <w:sz w:val="20"/>
      <w:szCs w:val="20"/>
    </w:rPr>
  </w:style>
  <w:style w:type="character" w:styleId="WW8Num9z0">
    <w:name w:val="WW8Num9z0"/>
    <w:qFormat/>
    <w:rPr>
      <w:color w:val="000000"/>
    </w:rPr>
  </w:style>
  <w:style w:type="character" w:styleId="WW8Num8z0">
    <w:name w:val="WW8Num8z0"/>
    <w:qFormat/>
    <w:rPr>
      <w:b/>
      <w:color w:val="000000"/>
      <w:sz w:val="20"/>
      <w:lang w:val="pl-PL" w:eastAsia="pl-P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>
      <w:rFonts w:eastAsia="Times New Roman"/>
    </w:rPr>
  </w:style>
  <w:style w:type="character" w:styleId="WW8Num6z1">
    <w:name w:val="WW8Num6z1"/>
    <w:qFormat/>
    <w:rPr>
      <w:rFonts w:ascii="Courier New" w:hAnsi="Courier New" w:eastAsia="Courier New"/>
    </w:rPr>
  </w:style>
  <w:style w:type="character" w:styleId="WW8Num5z1">
    <w:name w:val="WW8Num5z1"/>
    <w:qFormat/>
    <w:rPr>
      <w:rFonts w:ascii="OpenSymbol" w:hAnsi="OpenSymbol" w:eastAsia="OpenSymbol"/>
    </w:rPr>
  </w:style>
  <w:style w:type="character" w:styleId="WW8Num7z1">
    <w:name w:val="WW8Num7z1"/>
    <w:qFormat/>
    <w:rPr>
      <w:rFonts w:ascii="OpenSymbol" w:hAnsi="OpenSymbol" w:eastAsia="Symbol"/>
      <w:b w:val="false"/>
      <w:sz w:val="20"/>
      <w:szCs w:val="20"/>
    </w:rPr>
  </w:style>
  <w:style w:type="character" w:styleId="WW8Num7z0">
    <w:name w:val="WW8Num7z0"/>
    <w:qFormat/>
    <w:rPr>
      <w:rFonts w:ascii="Liberation Serif" w:hAnsi="Liberation Serif" w:eastAsia="Liberation Serif"/>
      <w:color w:val="000000"/>
    </w:rPr>
  </w:style>
  <w:style w:type="character" w:styleId="WW8Num6z0">
    <w:name w:val="WW8Num6z0"/>
    <w:qFormat/>
    <w:rPr>
      <w:b/>
      <w:color w:val="000000"/>
      <w:sz w:val="20"/>
      <w:lang w:val="pl-PL" w:eastAsia="pl-PL"/>
    </w:rPr>
  </w:style>
  <w:style w:type="character" w:styleId="WW8Num5z0">
    <w:name w:val="WW8Num5z0"/>
    <w:qFormat/>
    <w:rPr>
      <w:b w:val="false"/>
      <w:color w:val="auto"/>
      <w:sz w:val="20"/>
    </w:rPr>
  </w:style>
  <w:style w:type="character" w:styleId="WW8Num4z1">
    <w:name w:val="WW8Num4z1"/>
    <w:qFormat/>
    <w:rPr>
      <w:rFonts w:ascii="OpenSymbol" w:hAnsi="OpenSymbol" w:eastAsia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Maszynopis" w:customStyle="1">
    <w:name w:val="maszynopis"/>
    <w:qFormat/>
    <w:rsid w:val="00121008"/>
    <w:pPr>
      <w:widowControl w:val="false"/>
      <w:suppressAutoHyphens w:val="true"/>
      <w:bidi w:val="0"/>
      <w:spacing w:lineRule="exact" w:line="460" w:before="0" w:after="0"/>
      <w:jc w:val="left"/>
    </w:pPr>
    <w:rPr>
      <w:rFonts w:ascii="Courier New" w:hAnsi="Courier New" w:eastAsia="Times New Roman" w:cs="Calibri"/>
      <w:color w:val="auto"/>
      <w:kern w:val="2"/>
      <w:sz w:val="20"/>
      <w:szCs w:val="24"/>
      <w:lang w:val="pl-PL" w:eastAsia="ar-SA" w:bidi="ar-SA"/>
    </w:rPr>
  </w:style>
  <w:style w:type="paragraph" w:styleId="Default" w:customStyle="1">
    <w:name w:val="Default"/>
    <w:qFormat/>
    <w:rsid w:val="0012100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0"/>
      <w:kern w:val="2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sz w:val="20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angal"/>
      <w:sz w:val="28"/>
      <w:szCs w:val="28"/>
      <w:lang w:eastAsia="ar-SA"/>
    </w:rPr>
  </w:style>
  <w:style w:type="paragraph" w:styleId="Akapitzlist1">
    <w:name w:val="Akapit z listą1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LibreOffice/6.4.0.3$Windows_X86_64 LibreOffice_project/b0a288ab3d2d4774cb44b62f04d5d28733ac6df8</Application>
  <Pages>4</Pages>
  <Words>1063</Words>
  <Characters>7243</Characters>
  <CharactersWithSpaces>8643</CharactersWithSpaces>
  <Paragraphs>163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k.waligorska</dc:creator>
  <dc:description/>
  <dc:language>pl-PL</dc:language>
  <cp:lastModifiedBy/>
  <dcterms:modified xsi:type="dcterms:W3CDTF">2020-09-13T20:41:50Z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